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E809" w14:textId="6AFF99AC" w:rsidR="00015841" w:rsidRDefault="00950910" w:rsidP="00E31292">
      <w:pPr>
        <w:jc w:val="both"/>
        <w:rPr>
          <w:b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ECC449F" wp14:editId="69BBA282">
            <wp:simplePos x="0" y="0"/>
            <wp:positionH relativeFrom="column">
              <wp:posOffset>-11850</wp:posOffset>
            </wp:positionH>
            <wp:positionV relativeFrom="paragraph">
              <wp:posOffset>0</wp:posOffset>
            </wp:positionV>
            <wp:extent cx="2055600" cy="608400"/>
            <wp:effectExtent l="0" t="0" r="1905" b="1270"/>
            <wp:wrapTight wrapText="bothSides">
              <wp:wrapPolygon edited="0">
                <wp:start x="0" y="0"/>
                <wp:lineTo x="0" y="20969"/>
                <wp:lineTo x="21420" y="20969"/>
                <wp:lineTo x="214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A06AF24" wp14:editId="365D1075">
            <wp:simplePos x="0" y="0"/>
            <wp:positionH relativeFrom="column">
              <wp:posOffset>3984237</wp:posOffset>
            </wp:positionH>
            <wp:positionV relativeFrom="paragraph">
              <wp:posOffset>11875</wp:posOffset>
            </wp:positionV>
            <wp:extent cx="1425600" cy="507600"/>
            <wp:effectExtent l="0" t="0" r="3175" b="6985"/>
            <wp:wrapTight wrapText="bothSides">
              <wp:wrapPolygon edited="0">
                <wp:start x="0" y="0"/>
                <wp:lineTo x="0" y="21086"/>
                <wp:lineTo x="21359" y="21086"/>
                <wp:lineTo x="213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50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5E06D" w14:textId="77777777" w:rsidR="00015841" w:rsidRDefault="00015841" w:rsidP="00E31292">
      <w:pPr>
        <w:jc w:val="both"/>
        <w:rPr>
          <w:b/>
        </w:rPr>
      </w:pPr>
    </w:p>
    <w:p w14:paraId="75E89DDB" w14:textId="77777777" w:rsidR="00015841" w:rsidRDefault="00015841" w:rsidP="00E31292">
      <w:pPr>
        <w:jc w:val="both"/>
        <w:rPr>
          <w:b/>
        </w:rPr>
      </w:pPr>
    </w:p>
    <w:p w14:paraId="1EE615CA" w14:textId="77777777" w:rsidR="00950910" w:rsidRDefault="00950910" w:rsidP="00E31292">
      <w:pPr>
        <w:jc w:val="both"/>
        <w:rPr>
          <w:b/>
        </w:rPr>
      </w:pPr>
    </w:p>
    <w:p w14:paraId="23231654" w14:textId="7D862929" w:rsidR="000D75B1" w:rsidRPr="00390DFE" w:rsidRDefault="000D75B1" w:rsidP="00E31292">
      <w:pPr>
        <w:jc w:val="both"/>
        <w:rPr>
          <w:b/>
        </w:rPr>
      </w:pPr>
      <w:r w:rsidRPr="00390DFE">
        <w:rPr>
          <w:b/>
        </w:rPr>
        <w:t xml:space="preserve">NORMATIVA SOBRE </w:t>
      </w:r>
      <w:r w:rsidR="00E31292">
        <w:rPr>
          <w:b/>
        </w:rPr>
        <w:t xml:space="preserve">EL </w:t>
      </w:r>
      <w:r w:rsidRPr="00390DFE">
        <w:rPr>
          <w:b/>
        </w:rPr>
        <w:t xml:space="preserve">PATROCINIO CIENTÍFICO DE </w:t>
      </w:r>
      <w:r w:rsidR="00E31292">
        <w:rPr>
          <w:b/>
        </w:rPr>
        <w:t xml:space="preserve">CIBERINFEC DE </w:t>
      </w:r>
      <w:r w:rsidRPr="00390DFE">
        <w:rPr>
          <w:b/>
        </w:rPr>
        <w:t>ACTIVIDADES FINANCIADAS POR ENTIDADES PÚBLICAS O PRIVADAS</w:t>
      </w:r>
    </w:p>
    <w:p w14:paraId="141C619F" w14:textId="24CC756C" w:rsidR="000D75B1" w:rsidRDefault="000D75B1" w:rsidP="005329DD">
      <w:pPr>
        <w:spacing w:before="120" w:after="0" w:line="312" w:lineRule="auto"/>
        <w:jc w:val="both"/>
      </w:pPr>
      <w:r>
        <w:t xml:space="preserve">Esta normativa regula </w:t>
      </w:r>
      <w:r w:rsidR="004E24C8">
        <w:t>la concesión del Patrocinio del</w:t>
      </w:r>
      <w:r>
        <w:t xml:space="preserve"> CIBERINFEC para aquellas actividades científicas que, a propuesta de</w:t>
      </w:r>
      <w:r w:rsidR="00013ADF">
        <w:t xml:space="preserve"> uno o varios grupos del mismo</w:t>
      </w:r>
      <w:r>
        <w:t>, son financiadas por entidades públicas o privadas</w:t>
      </w:r>
      <w:r w:rsidR="00013ADF">
        <w:t>.</w:t>
      </w:r>
      <w:r w:rsidRPr="000D75B1">
        <w:t xml:space="preserve"> </w:t>
      </w:r>
      <w:r>
        <w:t xml:space="preserve">CIBERINFEC </w:t>
      </w:r>
      <w:r w:rsidR="00013ADF">
        <w:t>es un centro de Investigación c</w:t>
      </w:r>
      <w:r>
        <w:t xml:space="preserve">ooperativa </w:t>
      </w:r>
      <w:r w:rsidR="00013ADF">
        <w:t xml:space="preserve">en red </w:t>
      </w:r>
      <w:r>
        <w:t>y, entre sus fines, se encuentra la difusión de los progresos científicos experimentados en Enfermedades Infecciosas y Microbiología Clínica. En este sentido, las iniciativas de sus miembros en la organización de actividades científicas son deseables de todo punto y tienen acogida en estas normas. En términos generales, CIBERINFEC en su colaboración con la Industria debe distinguir entre lo que supone una colaboración en el conocimiento de la ciencia y una promoción comercial legítima, aspectos éstos entre los que no existe siempre una clara delimitación y que muchas veces se superponen, obligando a una toma de postura empírica. Por ello, una normativa a este respecto debe establecer criterios muy generales, debiendo ser estudiada cada solicitud a la luz de estos criterios y del se</w:t>
      </w:r>
      <w:r w:rsidR="00013ADF">
        <w:t>ntido común. El patrocinio del</w:t>
      </w:r>
      <w:r>
        <w:t xml:space="preserve"> CIBERINFEC de actividades destinadas a fomentar el conocimiento de las Enfermedades Infecciosas y de la Microbiología Clínica debe ser solicitado personalmente y para un solo evento. La concesión del patrocinio científico a una actividad determinada no presupone la concesión del mismo a ediciones posteriores de la misma. </w:t>
      </w:r>
    </w:p>
    <w:p w14:paraId="52C174CB" w14:textId="38ECCA6D" w:rsidR="007645C2" w:rsidRPr="007645C2" w:rsidRDefault="007645C2" w:rsidP="005329DD">
      <w:pPr>
        <w:spacing w:before="120" w:after="0" w:line="312" w:lineRule="auto"/>
        <w:jc w:val="both"/>
        <w:rPr>
          <w:b/>
        </w:rPr>
      </w:pPr>
      <w:r w:rsidRPr="007645C2">
        <w:rPr>
          <w:b/>
        </w:rPr>
        <w:t>Bases de la normativa para la concesión de Patrocinio Científico de CIBERINFEC</w:t>
      </w:r>
    </w:p>
    <w:p w14:paraId="2559BCF1" w14:textId="4315F908" w:rsidR="00DE31F5" w:rsidRDefault="00DE31F5" w:rsidP="005329DD">
      <w:pPr>
        <w:spacing w:before="120" w:after="0" w:line="312" w:lineRule="auto"/>
        <w:jc w:val="both"/>
      </w:pPr>
      <w:r>
        <w:t>1. El objetivo del Patrocinio Científico de</w:t>
      </w:r>
      <w:r w:rsidR="008E4062">
        <w:t>l</w:t>
      </w:r>
      <w:r>
        <w:t xml:space="preserve"> CIBERINFEC se limita a acreditar el valor e interés científico de la actividad. </w:t>
      </w:r>
    </w:p>
    <w:p w14:paraId="2D994063" w14:textId="25F0AFB6" w:rsidR="00DE31F5" w:rsidRDefault="00DE31F5" w:rsidP="005329DD">
      <w:pPr>
        <w:spacing w:before="120" w:after="0" w:line="312" w:lineRule="auto"/>
        <w:jc w:val="both"/>
      </w:pPr>
      <w:r>
        <w:t>2. La iniciativa objeto de Patrocinio científico, ya sea en la modalidad de curso, simposio, seminario, proyecto colaborativo o actividad divulgativa, debe tener un claro interés científico, docente o de formación para los miembros CIBERINFEC, así como estar alineado con la actividad propia del mismo. No se concederán avales para publicaciones, medicamentos o productos sanitarios, ni actividades en las que pueda existir interés comercial.</w:t>
      </w:r>
    </w:p>
    <w:p w14:paraId="76EF8255" w14:textId="331B374C" w:rsidR="00396348" w:rsidRDefault="00DE31F5" w:rsidP="005329DD">
      <w:pPr>
        <w:spacing w:before="120" w:after="0" w:line="312" w:lineRule="auto"/>
        <w:jc w:val="both"/>
      </w:pPr>
      <w:r>
        <w:t>3</w:t>
      </w:r>
      <w:r w:rsidR="00396348">
        <w:t xml:space="preserve">. La concesión del </w:t>
      </w:r>
      <w:r>
        <w:t>Patrocinio</w:t>
      </w:r>
      <w:r w:rsidR="00396348">
        <w:t xml:space="preserve"> Científico </w:t>
      </w:r>
      <w:r>
        <w:t>d</w:t>
      </w:r>
      <w:r w:rsidR="00396348">
        <w:t>e</w:t>
      </w:r>
      <w:r w:rsidR="008E4062">
        <w:t>l</w:t>
      </w:r>
      <w:r w:rsidR="00396348">
        <w:t xml:space="preserve"> CIBERINFEC a </w:t>
      </w:r>
      <w:r>
        <w:t xml:space="preserve">una actividad requiere la </w:t>
      </w:r>
      <w:r w:rsidR="00396348">
        <w:t>participación</w:t>
      </w:r>
      <w:r>
        <w:t xml:space="preserve"> activa </w:t>
      </w:r>
      <w:r w:rsidR="00396348">
        <w:t>de, al menos, un investigador</w:t>
      </w:r>
      <w:r>
        <w:t xml:space="preserve"> de</w:t>
      </w:r>
      <w:r w:rsidR="008E4062">
        <w:t>l</w:t>
      </w:r>
      <w:r>
        <w:t xml:space="preserve"> CIBERINFEC</w:t>
      </w:r>
      <w:r w:rsidR="00396348">
        <w:t xml:space="preserve"> en la </w:t>
      </w:r>
      <w:r>
        <w:t>organización o consecución de dicha</w:t>
      </w:r>
      <w:r w:rsidR="00396348">
        <w:t xml:space="preserve"> actividad.</w:t>
      </w:r>
    </w:p>
    <w:p w14:paraId="77FD5844" w14:textId="56F13ED4" w:rsidR="00396348" w:rsidRDefault="00DE31F5" w:rsidP="005329DD">
      <w:pPr>
        <w:spacing w:before="120" w:after="0" w:line="312" w:lineRule="auto"/>
        <w:jc w:val="both"/>
      </w:pPr>
      <w:r>
        <w:t>4</w:t>
      </w:r>
      <w:r w:rsidR="00E74212">
        <w:t>. L</w:t>
      </w:r>
      <w:r w:rsidR="00396348">
        <w:t xml:space="preserve">a actividad </w:t>
      </w:r>
      <w:r w:rsidR="00E74212">
        <w:t xml:space="preserve">solicitante de Patrocinio Científico </w:t>
      </w:r>
      <w:r w:rsidR="00396348">
        <w:t xml:space="preserve">presente balance de género en el panel de ponentes/docentes del programa propuesto. </w:t>
      </w:r>
      <w:r w:rsidR="00E74212">
        <w:t xml:space="preserve">En caso de no respetarse el </w:t>
      </w:r>
      <w:r w:rsidR="00396348">
        <w:t xml:space="preserve">programa </w:t>
      </w:r>
      <w:r w:rsidR="00E74212">
        <w:t xml:space="preserve">propuesto en este sentido, CIBERINFEC </w:t>
      </w:r>
      <w:r w:rsidR="00396348">
        <w:t>podría retirar el aval para futuras ediciones de la actividad correspondiente.</w:t>
      </w:r>
    </w:p>
    <w:p w14:paraId="4D303006" w14:textId="36253B99" w:rsidR="00396348" w:rsidRDefault="00E74212" w:rsidP="005329DD">
      <w:pPr>
        <w:spacing w:before="120" w:after="0" w:line="312" w:lineRule="auto"/>
        <w:jc w:val="both"/>
      </w:pPr>
      <w:r>
        <w:lastRenderedPageBreak/>
        <w:t>5</w:t>
      </w:r>
      <w:r w:rsidR="00396348">
        <w:t xml:space="preserve">. No se </w:t>
      </w:r>
      <w:r>
        <w:t xml:space="preserve">concederá el Patrocinio Científico a aquellas </w:t>
      </w:r>
      <w:r w:rsidR="00396348">
        <w:t>actividades o documentos que entren en competencia con las actividades propias de</w:t>
      </w:r>
      <w:r w:rsidR="008E4062">
        <w:t>l</w:t>
      </w:r>
      <w:r w:rsidR="00396348">
        <w:t xml:space="preserve"> CIBER</w:t>
      </w:r>
      <w:r>
        <w:t xml:space="preserve">INFEC </w:t>
      </w:r>
      <w:r w:rsidR="00396348">
        <w:t xml:space="preserve">(por ejemplo, con solapamiento de </w:t>
      </w:r>
      <w:r>
        <w:t xml:space="preserve">contenido o de </w:t>
      </w:r>
      <w:r w:rsidR="00396348">
        <w:t>calendario).</w:t>
      </w:r>
    </w:p>
    <w:p w14:paraId="7FC30FE8" w14:textId="00246548" w:rsidR="000D75B1" w:rsidRDefault="00E74212" w:rsidP="005329DD">
      <w:pPr>
        <w:spacing w:before="120" w:after="0" w:line="312" w:lineRule="auto"/>
        <w:jc w:val="both"/>
      </w:pPr>
      <w:r>
        <w:t>6</w:t>
      </w:r>
      <w:r w:rsidR="000D75B1">
        <w:t xml:space="preserve">. El patrocinio no supone en absoluto sufragar, total o parcialmente, los gastos correspondientes al desarrollo de la actividad, tan sólo avala científicamente la misma. </w:t>
      </w:r>
    </w:p>
    <w:p w14:paraId="794638E7" w14:textId="16905DBE" w:rsidR="000D75B1" w:rsidRDefault="00E74212" w:rsidP="005329DD">
      <w:pPr>
        <w:spacing w:before="120" w:after="0" w:line="312" w:lineRule="auto"/>
        <w:jc w:val="both"/>
      </w:pPr>
      <w:r>
        <w:t>7</w:t>
      </w:r>
      <w:r w:rsidR="000D75B1">
        <w:t>. La solicitud de patrocinio se enviará a</w:t>
      </w:r>
      <w:r w:rsidR="000F3D09">
        <w:t xml:space="preserve">l </w:t>
      </w:r>
      <w:r w:rsidR="000F3D09" w:rsidRPr="00715A71">
        <w:t xml:space="preserve">Comité de Formación de </w:t>
      </w:r>
      <w:r w:rsidR="000D75B1" w:rsidRPr="00715A71">
        <w:t>CIBERINFEC</w:t>
      </w:r>
      <w:r w:rsidR="000D75B1">
        <w:t xml:space="preserve"> </w:t>
      </w:r>
      <w:r w:rsidR="00715A71" w:rsidRPr="007020E8">
        <w:t>(</w:t>
      </w:r>
      <w:hyperlink r:id="rId10" w:history="1">
        <w:r w:rsidR="00673A79" w:rsidRPr="00E062DB">
          <w:rPr>
            <w:rStyle w:val="Hipervnculo"/>
          </w:rPr>
          <w:t>formacion@ciberinfec.es</w:t>
        </w:r>
      </w:hyperlink>
      <w:r w:rsidR="00715A71" w:rsidRPr="007020E8">
        <w:t>)</w:t>
      </w:r>
      <w:r w:rsidR="00715A71">
        <w:t xml:space="preserve"> </w:t>
      </w:r>
      <w:r w:rsidR="000D75B1">
        <w:t>al menos dos meses antes de la celebración del evento.</w:t>
      </w:r>
    </w:p>
    <w:p w14:paraId="1601FF6A" w14:textId="48152593" w:rsidR="000D75B1" w:rsidRDefault="00E74212" w:rsidP="005329DD">
      <w:pPr>
        <w:spacing w:before="120" w:after="0" w:line="312" w:lineRule="auto"/>
        <w:jc w:val="both"/>
      </w:pPr>
      <w:r>
        <w:t xml:space="preserve"> 8</w:t>
      </w:r>
      <w:r w:rsidR="000D75B1">
        <w:t>. La solicitud de patrocinio la realizarán los responsables científicos de la activi</w:t>
      </w:r>
      <w:r>
        <w:t>dad, que deben ser miembros de</w:t>
      </w:r>
      <w:r w:rsidR="008E4062">
        <w:t>l</w:t>
      </w:r>
      <w:r w:rsidR="000D75B1">
        <w:t xml:space="preserve"> CIBERINFEC. En el caso de que el organizador sea una firma comercial, la solicitud deberá ser tramita</w:t>
      </w:r>
      <w:r>
        <w:t>da a través de algún miembro de</w:t>
      </w:r>
      <w:r w:rsidR="008E4062">
        <w:t>l</w:t>
      </w:r>
      <w:r w:rsidR="000D75B1">
        <w:t xml:space="preserve"> CIBERINFEC, indicando su nombre y grupo al que pertenece. </w:t>
      </w:r>
    </w:p>
    <w:p w14:paraId="65B044F8" w14:textId="2435A932" w:rsidR="00390DFE" w:rsidRDefault="00E74212" w:rsidP="005329DD">
      <w:pPr>
        <w:spacing w:before="120" w:after="0" w:line="312" w:lineRule="auto"/>
        <w:jc w:val="both"/>
      </w:pPr>
      <w:r>
        <w:t>9</w:t>
      </w:r>
      <w:r w:rsidR="000D75B1">
        <w:t xml:space="preserve">. La solicitud deberá hacer constar los siguientes aspectos: </w:t>
      </w:r>
    </w:p>
    <w:p w14:paraId="761AD093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Título de la actividad y objetivos, incluidos los docentes, de la misma. </w:t>
      </w:r>
    </w:p>
    <w:p w14:paraId="2B0EA870" w14:textId="339E234D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Nombre o nombres de los responsables (editores, coordinadores, directores, </w:t>
      </w:r>
      <w:r w:rsidR="005329DD">
        <w:t>moderadores, etc.)</w:t>
      </w:r>
    </w:p>
    <w:p w14:paraId="261604D7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>Lugar, fecha y hora de celebración, en su caso.</w:t>
      </w:r>
    </w:p>
    <w:p w14:paraId="31EB8807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Público al que va dirigido: titulación, número, etc. </w:t>
      </w:r>
    </w:p>
    <w:p w14:paraId="62E3F2E6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Programa, especificando la filiación de los ponentes (nombre e institución) y título de sus participaciones. </w:t>
      </w:r>
    </w:p>
    <w:p w14:paraId="1DA5EFFF" w14:textId="77777777" w:rsidR="005329DD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Cuota de inscripción, en su caso. </w:t>
      </w:r>
    </w:p>
    <w:p w14:paraId="56CC7184" w14:textId="47B1DCF3" w:rsidR="000D75B1" w:rsidRDefault="000D75B1" w:rsidP="005329DD">
      <w:pPr>
        <w:pStyle w:val="Prrafodelista"/>
        <w:numPr>
          <w:ilvl w:val="0"/>
          <w:numId w:val="1"/>
        </w:numPr>
        <w:spacing w:before="120" w:after="0" w:line="312" w:lineRule="auto"/>
        <w:jc w:val="both"/>
      </w:pPr>
      <w:r>
        <w:t xml:space="preserve">Persona de contacto para las relaciones con los alumnos del curso, incluyendo dirección de correo electrónico. </w:t>
      </w:r>
    </w:p>
    <w:p w14:paraId="50700260" w14:textId="77777777" w:rsidR="00E72D8D" w:rsidRDefault="00E74212" w:rsidP="005329DD">
      <w:pPr>
        <w:spacing w:before="120" w:after="0" w:line="312" w:lineRule="auto"/>
        <w:jc w:val="both"/>
      </w:pPr>
      <w:r>
        <w:t>10. El Comité de F</w:t>
      </w:r>
      <w:r w:rsidR="000D75B1">
        <w:t>ormación del CIBERINFEC valorará</w:t>
      </w:r>
      <w:r w:rsidR="00E72D8D">
        <w:t xml:space="preserve"> las solicitudes y aprobará el P</w:t>
      </w:r>
      <w:r w:rsidR="000D75B1">
        <w:t xml:space="preserve">atrocinio, si procede. También procederá a contestar por escrito la aceptación plena, la aceptación condicionada o el rechazo de la solicitud. En estos dos últimos casos, en la contestación se indicarán las causas de la decisión. </w:t>
      </w:r>
    </w:p>
    <w:p w14:paraId="32CC3432" w14:textId="30485778" w:rsidR="000D75B1" w:rsidRDefault="00E72D8D" w:rsidP="005329DD">
      <w:pPr>
        <w:spacing w:before="120" w:after="0" w:line="312" w:lineRule="auto"/>
        <w:jc w:val="both"/>
      </w:pPr>
      <w:r>
        <w:t>1</w:t>
      </w:r>
      <w:r w:rsidR="008E4062">
        <w:t>1</w:t>
      </w:r>
      <w:r w:rsidR="000D75B1">
        <w:t>. En caso de aceptación condicionada, esta no será plena en tanto no se disponga en la Secretaría del CIBERINFEC de los documentos o requisitos pertinentes.</w:t>
      </w:r>
    </w:p>
    <w:p w14:paraId="5EFB2DEA" w14:textId="7401FEE5" w:rsidR="000D75B1" w:rsidRDefault="008E4062" w:rsidP="005329DD">
      <w:pPr>
        <w:spacing w:before="120" w:after="0" w:line="312" w:lineRule="auto"/>
        <w:jc w:val="both"/>
      </w:pPr>
      <w:r>
        <w:t>12. El Comité de F</w:t>
      </w:r>
      <w:r w:rsidR="000D75B1">
        <w:t xml:space="preserve">ormación del CIBERINFEC informará al Comité </w:t>
      </w:r>
      <w:r>
        <w:t xml:space="preserve">de Dirección </w:t>
      </w:r>
      <w:r w:rsidR="000D75B1">
        <w:t xml:space="preserve">de las solicitudes aceptadas o denegadas en la siguiente reunión ordinaria del mismo. </w:t>
      </w:r>
    </w:p>
    <w:p w14:paraId="651D5C59" w14:textId="64F03751" w:rsidR="000D75B1" w:rsidRDefault="008E4062" w:rsidP="005329DD">
      <w:pPr>
        <w:spacing w:before="120" w:after="0" w:line="312" w:lineRule="auto"/>
        <w:jc w:val="both"/>
      </w:pPr>
      <w:r>
        <w:t>13</w:t>
      </w:r>
      <w:r w:rsidR="000D75B1">
        <w:t xml:space="preserve">. En caso de aprobación plena, el programa o publicación podrá hacer constar el lema "Con el patrocinio científico </w:t>
      </w:r>
      <w:r w:rsidR="004E24C8">
        <w:t>del</w:t>
      </w:r>
      <w:r w:rsidR="00013ADF">
        <w:t xml:space="preserve"> </w:t>
      </w:r>
      <w:r w:rsidR="004E24C8">
        <w:t>CIBERINFEC</w:t>
      </w:r>
      <w:r w:rsidR="000D75B1">
        <w:t>", señalándose explícitamente la frase "las opiniones expresadas por los autores no reflejan nec</w:t>
      </w:r>
      <w:r w:rsidR="00390DFE">
        <w:t>esariamente la posición oficial</w:t>
      </w:r>
      <w:r w:rsidR="000D75B1">
        <w:t xml:space="preserve"> del CIBERINFEC". </w:t>
      </w:r>
    </w:p>
    <w:p w14:paraId="326CA337" w14:textId="4EF580CA" w:rsidR="000D75B1" w:rsidRDefault="008E4062" w:rsidP="005329DD">
      <w:pPr>
        <w:spacing w:before="120" w:after="0" w:line="312" w:lineRule="auto"/>
        <w:jc w:val="both"/>
      </w:pPr>
      <w:r>
        <w:t>14</w:t>
      </w:r>
      <w:r w:rsidR="000D75B1">
        <w:t xml:space="preserve">. Todos los cursos patrocinados por el </w:t>
      </w:r>
      <w:r w:rsidR="00013ADF">
        <w:t>CIBERINFEC</w:t>
      </w:r>
      <w:r w:rsidR="000D75B1">
        <w:t>, en los que no haya limitación de alumnos, estará abierto a todos sus miembros a todos los efectos y sin restricciones.</w:t>
      </w:r>
    </w:p>
    <w:p w14:paraId="0CBE4981" w14:textId="4E411068" w:rsidR="000D75B1" w:rsidRDefault="000D75B1" w:rsidP="005329DD">
      <w:pPr>
        <w:spacing w:before="120" w:after="0" w:line="312" w:lineRule="auto"/>
        <w:jc w:val="both"/>
      </w:pPr>
      <w:r>
        <w:t xml:space="preserve"> 1</w:t>
      </w:r>
      <w:r w:rsidR="008E4062">
        <w:t>5</w:t>
      </w:r>
      <w:r>
        <w:t xml:space="preserve">. Deberá depositarse en la Secretaría </w:t>
      </w:r>
      <w:r w:rsidR="008E4062">
        <w:t>de</w:t>
      </w:r>
      <w:r>
        <w:t xml:space="preserve"> CIBERINFEC un ejemplar del programa definitivo de la actividad o de cualquier otro tipo de publicación generada por la actividad. </w:t>
      </w:r>
    </w:p>
    <w:p w14:paraId="7B168924" w14:textId="6127CE90" w:rsidR="000D75B1" w:rsidRDefault="008E4062" w:rsidP="005329DD">
      <w:pPr>
        <w:spacing w:before="120" w:after="0" w:line="312" w:lineRule="auto"/>
        <w:jc w:val="both"/>
      </w:pPr>
      <w:r>
        <w:lastRenderedPageBreak/>
        <w:t>1</w:t>
      </w:r>
      <w:r w:rsidR="00794B38">
        <w:t>6</w:t>
      </w:r>
      <w:r>
        <w:t>. Las actividades con el Patrocinio Científico de CIBERINFEC se divulgarán a t</w:t>
      </w:r>
      <w:r w:rsidRPr="008E4062">
        <w:t xml:space="preserve">ravés de la web </w:t>
      </w:r>
      <w:r>
        <w:t>y redes sociales de CIBERINFEC</w:t>
      </w:r>
      <w:r w:rsidRPr="008E4062">
        <w:t>.</w:t>
      </w:r>
    </w:p>
    <w:p w14:paraId="4F2C6246" w14:textId="77777777" w:rsidR="005329DD" w:rsidRDefault="005329DD" w:rsidP="005329DD">
      <w:pPr>
        <w:spacing w:before="120" w:after="0" w:line="312" w:lineRule="auto"/>
        <w:jc w:val="both"/>
      </w:pPr>
    </w:p>
    <w:sectPr w:rsidR="005329DD" w:rsidSect="00015841">
      <w:footerReference w:type="default" r:id="rId11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0860" w14:textId="77777777" w:rsidR="000F0502" w:rsidRDefault="000F0502" w:rsidP="00950910">
      <w:pPr>
        <w:spacing w:after="0" w:line="240" w:lineRule="auto"/>
      </w:pPr>
      <w:r>
        <w:separator/>
      </w:r>
    </w:p>
  </w:endnote>
  <w:endnote w:type="continuationSeparator" w:id="0">
    <w:p w14:paraId="004D15FB" w14:textId="77777777" w:rsidR="000F0502" w:rsidRDefault="000F0502" w:rsidP="0095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i/>
        <w:color w:val="1F4E79"/>
        <w:sz w:val="20"/>
        <w:szCs w:val="20"/>
      </w:rPr>
      <w:id w:val="96509434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  <w:i/>
            <w:color w:val="1F4E79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068B47" w14:textId="55C34FA7" w:rsidR="00950910" w:rsidRPr="00950910" w:rsidRDefault="00715A71" w:rsidP="00950910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Versión </w:t>
            </w:r>
            <w:r w:rsidR="00D269C8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ab/>
              <w:t xml:space="preserve">Fecha Ed.: </w:t>
            </w:r>
            <w:r w:rsidR="00633F31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25</w:t>
            </w:r>
            <w:r w:rsid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/0</w:t>
            </w:r>
            <w:r w:rsidR="00633F31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5</w:t>
            </w:r>
            <w:r w:rsidR="00950910" w:rsidRP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>/2022</w:t>
            </w:r>
            <w:r w:rsid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. </w:t>
            </w:r>
            <w:r w:rsidR="00950910" w:rsidRP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ab/>
              <w:t xml:space="preserve">Página 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begin"/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instrText>PAGE</w:instrTex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separate"/>
            </w:r>
            <w:r w:rsidR="00CA3B8B">
              <w:rPr>
                <w:rFonts w:ascii="Calibri" w:eastAsia="Calibri" w:hAnsi="Calibri" w:cs="Times New Roman"/>
                <w:b/>
                <w:bCs/>
                <w:i/>
                <w:noProof/>
                <w:color w:val="1F4E79"/>
                <w:sz w:val="20"/>
                <w:szCs w:val="20"/>
              </w:rPr>
              <w:t>3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end"/>
            </w:r>
            <w:r w:rsidR="00950910" w:rsidRPr="00950910">
              <w:rPr>
                <w:rFonts w:ascii="Calibri" w:eastAsia="Calibri" w:hAnsi="Calibri" w:cs="Times New Roman"/>
                <w:i/>
                <w:color w:val="1F4E79"/>
                <w:sz w:val="20"/>
                <w:szCs w:val="20"/>
              </w:rPr>
              <w:t xml:space="preserve"> de 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begin"/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instrText>NUMPAGES</w:instrTex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separate"/>
            </w:r>
            <w:r w:rsidR="00CA3B8B">
              <w:rPr>
                <w:rFonts w:ascii="Calibri" w:eastAsia="Calibri" w:hAnsi="Calibri" w:cs="Times New Roman"/>
                <w:b/>
                <w:bCs/>
                <w:i/>
                <w:noProof/>
                <w:color w:val="1F4E79"/>
                <w:sz w:val="20"/>
                <w:szCs w:val="20"/>
              </w:rPr>
              <w:t>3</w:t>
            </w:r>
            <w:r w:rsidR="00950910" w:rsidRPr="00950910">
              <w:rPr>
                <w:rFonts w:ascii="Calibri" w:eastAsia="Calibri" w:hAnsi="Calibri" w:cs="Times New Roman"/>
                <w:b/>
                <w:bCs/>
                <w:i/>
                <w:color w:val="1F4E79"/>
                <w:sz w:val="20"/>
                <w:szCs w:val="20"/>
              </w:rPr>
              <w:fldChar w:fldCharType="end"/>
            </w:r>
          </w:p>
        </w:sdtContent>
      </w:sdt>
    </w:sdtContent>
  </w:sdt>
  <w:p w14:paraId="55D989C8" w14:textId="77777777" w:rsidR="00950910" w:rsidRDefault="009509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AE86" w14:textId="77777777" w:rsidR="000F0502" w:rsidRDefault="000F0502" w:rsidP="00950910">
      <w:pPr>
        <w:spacing w:after="0" w:line="240" w:lineRule="auto"/>
      </w:pPr>
      <w:r>
        <w:separator/>
      </w:r>
    </w:p>
  </w:footnote>
  <w:footnote w:type="continuationSeparator" w:id="0">
    <w:p w14:paraId="159BF528" w14:textId="77777777" w:rsidR="000F0502" w:rsidRDefault="000F0502" w:rsidP="00950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3CB"/>
    <w:multiLevelType w:val="hybridMultilevel"/>
    <w:tmpl w:val="68840EE4"/>
    <w:lvl w:ilvl="0" w:tplc="3BF0DA38">
      <w:numFmt w:val="bullet"/>
      <w:lvlText w:val="-"/>
      <w:lvlJc w:val="left"/>
      <w:pPr>
        <w:ind w:left="143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62F75BFC"/>
    <w:multiLevelType w:val="hybridMultilevel"/>
    <w:tmpl w:val="C7626FC2"/>
    <w:lvl w:ilvl="0" w:tplc="FCE46F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1"/>
    <w:rsid w:val="00013ADF"/>
    <w:rsid w:val="00015841"/>
    <w:rsid w:val="000D75B1"/>
    <w:rsid w:val="000F0502"/>
    <w:rsid w:val="000F3D09"/>
    <w:rsid w:val="001D10F7"/>
    <w:rsid w:val="00390DFE"/>
    <w:rsid w:val="00396348"/>
    <w:rsid w:val="00451572"/>
    <w:rsid w:val="00465D43"/>
    <w:rsid w:val="00491D64"/>
    <w:rsid w:val="004A619D"/>
    <w:rsid w:val="004E24C8"/>
    <w:rsid w:val="005329DD"/>
    <w:rsid w:val="00553FF7"/>
    <w:rsid w:val="00633F31"/>
    <w:rsid w:val="006473EC"/>
    <w:rsid w:val="00673A79"/>
    <w:rsid w:val="007020E8"/>
    <w:rsid w:val="00715A71"/>
    <w:rsid w:val="007645C2"/>
    <w:rsid w:val="00794B38"/>
    <w:rsid w:val="008B3310"/>
    <w:rsid w:val="008E4062"/>
    <w:rsid w:val="00905CCE"/>
    <w:rsid w:val="00950910"/>
    <w:rsid w:val="00CA3B8B"/>
    <w:rsid w:val="00CC0ACF"/>
    <w:rsid w:val="00D269C8"/>
    <w:rsid w:val="00DE31F5"/>
    <w:rsid w:val="00E31292"/>
    <w:rsid w:val="00E72D8D"/>
    <w:rsid w:val="00E74212"/>
    <w:rsid w:val="00F547AC"/>
    <w:rsid w:val="00F62450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4379"/>
  <w15:docId w15:val="{DAB8C43C-AB8B-4F8A-930B-645F9662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3A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A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A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A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A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0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910"/>
  </w:style>
  <w:style w:type="paragraph" w:styleId="Piedepgina">
    <w:name w:val="footer"/>
    <w:basedOn w:val="Normal"/>
    <w:link w:val="PiedepginaCar"/>
    <w:uiPriority w:val="99"/>
    <w:unhideWhenUsed/>
    <w:rsid w:val="00950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910"/>
  </w:style>
  <w:style w:type="paragraph" w:styleId="Prrafodelista">
    <w:name w:val="List Paragraph"/>
    <w:basedOn w:val="Normal"/>
    <w:uiPriority w:val="34"/>
    <w:qFormat/>
    <w:rsid w:val="005329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73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n@ciberinfec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4F79-8E1E-46DC-992D-261FA9B4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Oliver Palomo</dc:creator>
  <cp:lastModifiedBy>Amanda Fernandez Rodriguez</cp:lastModifiedBy>
  <cp:revision>18</cp:revision>
  <cp:lastPrinted>2022-09-23T12:39:00Z</cp:lastPrinted>
  <dcterms:created xsi:type="dcterms:W3CDTF">2022-04-11T09:03:00Z</dcterms:created>
  <dcterms:modified xsi:type="dcterms:W3CDTF">2022-09-23T12:39:00Z</dcterms:modified>
</cp:coreProperties>
</file>